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52DA54D0" w:rsidP="0514905B" w:rsidRDefault="52DA54D0" w14:paraId="36584EEB" w14:textId="2DF5FF9F">
      <w:pPr>
        <w:pStyle w:val="Normal"/>
        <w:jc w:val="center"/>
      </w:pPr>
      <w:r w:rsidR="52DA54D0">
        <w:drawing>
          <wp:inline wp14:editId="3707AB4B" wp14:anchorId="5079A4C0">
            <wp:extent cx="5715000" cy="114300"/>
            <wp:effectExtent l="0" t="0" r="0" b="0"/>
            <wp:docPr id="106487659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e3df73b90284b3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176730F" w:rsidP="0514905B" w:rsidRDefault="4176730F" w14:paraId="0F14368B" w14:textId="19CCC059">
      <w:pPr>
        <w:pStyle w:val="Normal"/>
        <w:jc w:val="center"/>
      </w:pPr>
      <w:r w:rsidR="4176730F">
        <w:drawing>
          <wp:inline wp14:editId="335A91A0" wp14:anchorId="4718EE65">
            <wp:extent cx="1240201" cy="958572"/>
            <wp:effectExtent l="0" t="0" r="0" b="0"/>
            <wp:docPr id="64984257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6481e5e730d45f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201" cy="95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60732" w:rsidR="00460732" w:rsidRDefault="00460732" w14:paraId="2F96008D" w14:textId="27B654F2">
      <w:pPr>
        <w:rPr/>
      </w:pPr>
      <w:r w:rsidR="00460732">
        <w:rPr/>
        <w:t xml:space="preserve">The total cost of the IGNITE Program </w:t>
      </w:r>
      <w:commentRangeStart w:id="1113522928"/>
      <w:r w:rsidR="11EF9052">
        <w:rPr/>
        <w:t>aligns with</w:t>
      </w:r>
      <w:commentRangeEnd w:id="1113522928"/>
      <w:r>
        <w:rPr>
          <w:rStyle w:val="CommentReference"/>
        </w:rPr>
        <w:commentReference w:id="1113522928"/>
      </w:r>
      <w:r w:rsidR="00460732">
        <w:rPr/>
        <w:t xml:space="preserve"> the </w:t>
      </w:r>
      <w:r w:rsidR="00460732">
        <w:rPr/>
        <w:t xml:space="preserve">cost of typical college expenses at Mount Vernon Nazarene University </w:t>
      </w:r>
      <w:commentRangeStart w:id="1813442669"/>
      <w:r w:rsidR="00460732">
        <w:rPr/>
        <w:t xml:space="preserve">and includes the annual cost for all IGNITE core courses and support fees, which are </w:t>
      </w:r>
      <w:r w:rsidR="00460732">
        <w:rPr/>
        <w:t>designated</w:t>
      </w:r>
      <w:r w:rsidR="00460732">
        <w:rPr/>
        <w:t xml:space="preserve"> to meet students’ needs as well as fees that are in place for all students living on campus including </w:t>
      </w:r>
      <w:r w:rsidR="374B4A46">
        <w:rPr/>
        <w:t>housing</w:t>
      </w:r>
      <w:r w:rsidR="00460732">
        <w:rPr/>
        <w:t xml:space="preserve">, </w:t>
      </w:r>
      <w:r w:rsidR="1EE9F7B3">
        <w:rPr/>
        <w:t>food</w:t>
      </w:r>
      <w:r w:rsidR="00460732">
        <w:rPr/>
        <w:t xml:space="preserve">, and </w:t>
      </w:r>
      <w:r w:rsidR="57D89D3B">
        <w:rPr/>
        <w:t>student</w:t>
      </w:r>
      <w:r w:rsidR="00460732">
        <w:rPr/>
        <w:t xml:space="preserve"> fees.</w:t>
      </w:r>
      <w:commentRangeEnd w:id="1813442669"/>
      <w:r>
        <w:rPr>
          <w:rStyle w:val="CommentReference"/>
        </w:rPr>
        <w:commentReference w:id="1813442669"/>
      </w:r>
    </w:p>
    <w:p w:rsidR="00460732" w:rsidRDefault="00460732" w14:paraId="27856959" w14:textId="77777777">
      <w:pPr>
        <w:rPr>
          <w:b/>
          <w:bCs/>
        </w:rPr>
      </w:pPr>
    </w:p>
    <w:p w:rsidRPr="00460732" w:rsidR="003523EA" w:rsidRDefault="00460732" w14:paraId="7908E67A" w14:textId="2A58B0DA">
      <w:pPr>
        <w:rPr>
          <w:b/>
          <w:bCs/>
        </w:rPr>
      </w:pPr>
      <w:r w:rsidRPr="00460732">
        <w:rPr>
          <w:b/>
          <w:bCs/>
        </w:rPr>
        <w:t>The prices listed on this document are for the 2024-2025 academic year.</w:t>
      </w:r>
    </w:p>
    <w:tbl>
      <w:tblPr>
        <w:tblStyle w:val="LightList-Accent3"/>
        <w:tblW w:w="0" w:type="auto"/>
        <w:tblLook w:val="0620" w:firstRow="1" w:lastRow="0" w:firstColumn="0" w:lastColumn="0" w:noHBand="1" w:noVBand="1"/>
      </w:tblPr>
      <w:tblGrid>
        <w:gridCol w:w="5570"/>
        <w:gridCol w:w="1080"/>
        <w:gridCol w:w="1080"/>
        <w:gridCol w:w="1350"/>
      </w:tblGrid>
      <w:tr w:rsidR="00460732" w:rsidTr="3A219A06" w14:paraId="377B074E" w14:textId="26611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0" w:type="dxa"/>
            <w:tcBorders>
              <w:bottom w:val="single" w:color="auto" w:sz="4" w:space="0"/>
            </w:tcBorders>
            <w:tcMar/>
          </w:tcPr>
          <w:p w:rsidR="00460732" w:rsidRDefault="00460732" w14:paraId="327F85EF" w14:noSpellErr="1" w14:textId="2B838665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Borders>
              <w:bottom w:val="single" w:color="auto" w:sz="4" w:space="0"/>
            </w:tcBorders>
            <w:tcMar/>
          </w:tcPr>
          <w:p w:rsidR="00460732" w:rsidRDefault="00460732" w14:paraId="6141E1A9" w14:textId="4CFF3878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Borders>
              <w:bottom w:val="single" w:color="auto" w:sz="4" w:space="0"/>
            </w:tcBorders>
            <w:tcMar/>
          </w:tcPr>
          <w:p w:rsidR="00460732" w:rsidRDefault="00460732" w14:paraId="7553CEC0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bottom w:val="single" w:color="auto" w:sz="4" w:space="0"/>
            </w:tcBorders>
            <w:tcMar/>
          </w:tcPr>
          <w:p w:rsidR="00460732" w:rsidRDefault="00460732" w14:paraId="7632ADC8" w14:textId="77777777"/>
        </w:tc>
      </w:tr>
      <w:tr w:rsidR="00460732" w:rsidTr="3A219A06" w14:paraId="51B03D72" w14:textId="1141D229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05D41F4B" w14:textId="68A52DD0"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Pr="00460732"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>st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Year Cohort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35C13F90" w14:textId="6C1821EF">
            <w:r>
              <w:rPr>
                <w:rFonts w:ascii="Calibri" w:hAnsi="Calibri" w:cs="Calibri"/>
                <w:b/>
                <w:bCs/>
                <w:color w:val="000000"/>
              </w:rPr>
              <w:t>Fall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5917B87F" w14:textId="43B00A2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Spring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25283627" w14:textId="538185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</w:tr>
      <w:tr w:rsidR="00460732" w:rsidTr="3A219A06" w14:paraId="01C3E430" w14:textId="12B2460B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713218DA" w14:textId="05D47A43">
            <w:r>
              <w:rPr>
                <w:rFonts w:ascii="Calibri" w:hAnsi="Calibri" w:cs="Calibri"/>
                <w:color w:val="000000"/>
              </w:rPr>
              <w:t>Independent Living Course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29F04641" w14:textId="4965A1FA">
            <w:r>
              <w:rPr>
                <w:rFonts w:ascii="Calibri" w:hAnsi="Calibri" w:cs="Calibri"/>
                <w:color w:val="000000"/>
              </w:rPr>
              <w:t xml:space="preserve">$2,940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72BAF9ED" w14:textId="2AF9E6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$2,940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5C35DF99" w14:textId="500013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$5,880 </w:t>
            </w:r>
          </w:p>
        </w:tc>
      </w:tr>
      <w:tr w:rsidR="00460732" w:rsidTr="3A219A06" w14:paraId="3984F3D7" w14:textId="19CFD4FD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5315BE3B" w14:textId="3E7F40D7">
            <w:r>
              <w:rPr>
                <w:rFonts w:ascii="Calibri" w:hAnsi="Calibri" w:cs="Calibri"/>
                <w:color w:val="000000"/>
              </w:rPr>
              <w:t>Overnight, live-in support fee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042FD181" w14:textId="6D9615B9">
            <w:r>
              <w:rPr>
                <w:rFonts w:ascii="Calibri" w:hAnsi="Calibri" w:cs="Calibri"/>
                <w:color w:val="000000"/>
              </w:rPr>
              <w:t xml:space="preserve">$3,142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11C83531" w14:textId="2DEE91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$3,142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552AB0AC" w14:textId="345D523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$6,284 </w:t>
            </w:r>
          </w:p>
        </w:tc>
      </w:tr>
      <w:tr w:rsidR="00460732" w:rsidTr="3A219A06" w14:paraId="5E30BA3E" w14:textId="61C88A41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3C8B5EDD" w14:textId="070E8765">
            <w:r>
              <w:rPr>
                <w:rFonts w:ascii="Calibri" w:hAnsi="Calibri" w:cs="Calibri"/>
                <w:color w:val="000000"/>
              </w:rPr>
              <w:t>Independent Living Lab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49C3235E" w14:textId="155445C9">
            <w:r>
              <w:rPr>
                <w:rFonts w:ascii="Calibri" w:hAnsi="Calibri" w:cs="Calibri"/>
                <w:color w:val="000000"/>
              </w:rPr>
              <w:t xml:space="preserve">$1,470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3DFD52D1" w14:textId="7B2837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$1,470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656CBC4C" w14:textId="50DBF3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$2,940 </w:t>
            </w:r>
          </w:p>
        </w:tc>
      </w:tr>
      <w:tr w:rsidR="00460732" w:rsidTr="3A219A06" w14:paraId="7DB9AAA6" w14:textId="1780A3E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0E65C859" w14:textId="45C47302">
            <w:r>
              <w:rPr>
                <w:rFonts w:ascii="Calibri" w:hAnsi="Calibri" w:cs="Calibri"/>
                <w:color w:val="000000"/>
              </w:rPr>
              <w:t>Independent Living Lab Fee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71C3C06B" w14:textId="7EA191A1">
            <w:r>
              <w:rPr>
                <w:rFonts w:ascii="Calibri" w:hAnsi="Calibri" w:cs="Calibri"/>
                <w:color w:val="000000"/>
              </w:rPr>
              <w:t xml:space="preserve">$250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6552710A" w14:textId="211A70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$250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3D1C84CC" w14:textId="0E519B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$500 </w:t>
            </w:r>
          </w:p>
        </w:tc>
      </w:tr>
      <w:tr w:rsidR="00460732" w:rsidTr="3A219A06" w14:paraId="41D01869" w14:textId="0A1F6293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56D4A428" w14:textId="5F686451">
            <w:r>
              <w:rPr>
                <w:rFonts w:ascii="Calibri" w:hAnsi="Calibri" w:cs="Calibri"/>
                <w:color w:val="000000"/>
              </w:rPr>
              <w:t>Independent Study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36AA6421" w14:textId="43A25FEA">
            <w:r>
              <w:rPr>
                <w:rFonts w:ascii="Calibri" w:hAnsi="Calibri" w:cs="Calibri"/>
                <w:color w:val="000000"/>
              </w:rPr>
              <w:t xml:space="preserve">$2,940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4FBDA790" w14:textId="6BCB0D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$2,940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71155A6C" w14:textId="67D4CE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$5,880 </w:t>
            </w:r>
          </w:p>
        </w:tc>
      </w:tr>
      <w:tr w:rsidR="00460732" w:rsidTr="3A219A06" w14:paraId="1D5476AB" w14:textId="5B3AC3D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6745467D" w14:textId="716FEC57">
            <w:r>
              <w:rPr>
                <w:rFonts w:ascii="Calibri" w:hAnsi="Calibri" w:cs="Calibri"/>
                <w:color w:val="000000"/>
              </w:rPr>
              <w:t>Independent Study Student Support Fee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67AE1B26" w14:textId="16C00BC6">
            <w:r>
              <w:rPr>
                <w:rFonts w:ascii="Calibri" w:hAnsi="Calibri" w:cs="Calibri"/>
                <w:color w:val="000000"/>
              </w:rPr>
              <w:t xml:space="preserve">$1,000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4AB46F01" w14:textId="69F614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$1,000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7877EA71" w14:textId="2080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$2,000 </w:t>
            </w:r>
          </w:p>
        </w:tc>
      </w:tr>
      <w:tr w:rsidR="00460732" w:rsidTr="3A219A06" w14:paraId="132014A9" w14:textId="2B69DB00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4C594D3F" w14:textId="20346E6B">
            <w:r>
              <w:rPr>
                <w:rFonts w:ascii="Calibri" w:hAnsi="Calibri" w:cs="Calibri"/>
                <w:color w:val="000000"/>
              </w:rPr>
              <w:t xml:space="preserve">Employment Course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18F53C89" w14:textId="4A03844C">
            <w:r>
              <w:rPr>
                <w:rFonts w:ascii="Calibri" w:hAnsi="Calibri" w:cs="Calibri"/>
                <w:color w:val="000000"/>
              </w:rPr>
              <w:t xml:space="preserve">$2,940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0DD00805" w14:textId="6C83CB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$2,940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170362D9" w14:textId="171C30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$5,880 </w:t>
            </w:r>
          </w:p>
        </w:tc>
      </w:tr>
      <w:tr w:rsidR="00460732" w:rsidTr="3A219A06" w14:paraId="39BD534F" w14:textId="77F3DC1F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361CE579" w14:textId="253AEE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Employment Support Fee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0D9C217C" w14:textId="60EE21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$1,000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54E936CE" w14:textId="2A914F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$1,000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6150816D" w14:textId="23ABE3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$2,000 </w:t>
            </w:r>
          </w:p>
        </w:tc>
      </w:tr>
      <w:tr w:rsidR="00460732" w:rsidTr="3A219A06" w14:paraId="1D791AEC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45E2AC63" w14:textId="143896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Summer Orientation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23FC3938" w14:textId="59F6D2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$1,200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1E2BD85C" w14:textId="04A668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--------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1318120C" w14:textId="50F2AA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$1,200 </w:t>
            </w:r>
          </w:p>
        </w:tc>
      </w:tr>
      <w:tr w:rsidR="00460732" w:rsidTr="3A219A06" w14:paraId="798A4850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0A2ACECB" w14:textId="088EE4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Internship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274C015D" w14:textId="290258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---------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29DD16CE" w14:textId="24EBAA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$2,940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21C0B91D" w14:textId="0004F2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$2,940 </w:t>
            </w:r>
          </w:p>
        </w:tc>
      </w:tr>
      <w:tr w:rsidR="00460732" w:rsidTr="3A219A06" w14:paraId="29FCC932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31BAFC56" w14:textId="5EA3D5F8">
            <w:pPr>
              <w:rPr>
                <w:rFonts w:ascii="Calibri" w:hAnsi="Calibri" w:cs="Calibri"/>
                <w:color w:val="000000"/>
              </w:rPr>
            </w:pPr>
            <w:r w:rsidRPr="3A219A06" w:rsidR="122F302C">
              <w:rPr>
                <w:rFonts w:ascii="Calibri" w:hAnsi="Calibri" w:cs="Calibri"/>
                <w:color w:val="000000" w:themeColor="text1" w:themeTint="FF" w:themeShade="FF"/>
              </w:rPr>
              <w:t>Housing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6D6F4C27" w14:textId="24A03C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$3,142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61C956FF" w14:textId="323FBB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$3,142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041B64F5" w14:textId="520F96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$6,284 </w:t>
            </w:r>
          </w:p>
        </w:tc>
      </w:tr>
      <w:tr w:rsidR="00460732" w:rsidTr="3A219A06" w14:paraId="35F096B8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7BF4007E" w14:textId="3AFFC9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Food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5AC3E858" w14:textId="01D100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$2,055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28B55A80" w14:textId="49FD6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$2,055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505DB4DE" w14:textId="18BF45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$4,110 </w:t>
            </w:r>
          </w:p>
        </w:tc>
      </w:tr>
      <w:tr w:rsidR="00460732" w:rsidTr="3A219A06" w14:paraId="71F8EC25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36A91F78" w14:textId="7CC878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Student Fee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11290029" w14:textId="31BD3D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$237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6CF7D5E5" w14:textId="43F500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$237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7AD5AA73" w14:textId="2929AD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$474 </w:t>
            </w:r>
          </w:p>
        </w:tc>
      </w:tr>
      <w:tr w:rsidR="00460732" w:rsidTr="3A219A06" w14:paraId="7CB479D4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401EC81B" w14:textId="3EEBF7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Technology Fee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77EF8B79" w14:textId="7D880C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$265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3BC68EBA" w14:textId="676472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$265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4B5E5375" w14:textId="13767A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$530 </w:t>
            </w:r>
          </w:p>
        </w:tc>
      </w:tr>
      <w:tr w:rsidR="00460732" w:rsidTr="3A219A06" w14:paraId="399A8AF5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bottom"/>
          </w:tcPr>
          <w:p w:rsidR="00460732" w:rsidP="00460732" w:rsidRDefault="00460732" w14:paraId="090285C1" w14:textId="63A0E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IGNITE Program Costs Cohort 1 2024-2025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bottom"/>
          </w:tcPr>
          <w:p w:rsidR="00460732" w:rsidP="00460732" w:rsidRDefault="00460732" w14:paraId="40D1E07B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4E9D9E55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60732" w:rsidP="00460732" w:rsidRDefault="00460732" w14:paraId="0FCFFFF1" w14:textId="3A3387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$47,552</w:t>
            </w:r>
          </w:p>
        </w:tc>
      </w:tr>
    </w:tbl>
    <w:p w:rsidR="00460732" w:rsidRDefault="00460732" w14:paraId="2B870C27" w14:textId="77777777" w14:noSpellErr="1"/>
    <w:p w:rsidR="0514905B" w:rsidP="0514905B" w:rsidRDefault="0514905B" w14:paraId="3571A297" w14:textId="3F0E7974">
      <w:pPr>
        <w:pStyle w:val="Normal"/>
      </w:pPr>
    </w:p>
    <w:p w:rsidR="0514905B" w:rsidP="0514905B" w:rsidRDefault="0514905B" w14:paraId="5E1A9410" w14:textId="23577100">
      <w:pPr>
        <w:pStyle w:val="Normal"/>
      </w:pPr>
    </w:p>
    <w:p w:rsidR="0514905B" w:rsidP="0514905B" w:rsidRDefault="0514905B" w14:paraId="4EBEEBCA" w14:textId="2720222E">
      <w:pPr>
        <w:pStyle w:val="Normal"/>
      </w:pPr>
    </w:p>
    <w:p w:rsidR="0514905B" w:rsidP="0514905B" w:rsidRDefault="0514905B" w14:paraId="74717CDD" w14:textId="3E7663C4">
      <w:pPr>
        <w:pStyle w:val="Normal"/>
      </w:pPr>
    </w:p>
    <w:p w:rsidR="0514905B" w:rsidP="0514905B" w:rsidRDefault="0514905B" w14:paraId="761CD1E9" w14:textId="6D727494">
      <w:pPr>
        <w:pStyle w:val="Normal"/>
      </w:pPr>
    </w:p>
    <w:p w:rsidR="0514905B" w:rsidP="0514905B" w:rsidRDefault="0514905B" w14:paraId="004743C7" w14:textId="0B7ACE08">
      <w:pPr>
        <w:pStyle w:val="Normal"/>
      </w:pPr>
    </w:p>
    <w:p w:rsidR="477793D0" w:rsidP="0514905B" w:rsidRDefault="477793D0" w14:paraId="6A7A97F4" w14:textId="686CC00B">
      <w:pPr>
        <w:pStyle w:val="Normal"/>
        <w:jc w:val="center"/>
      </w:pPr>
      <w:r w:rsidR="477793D0">
        <w:rPr/>
        <w:t xml:space="preserve">800 Martinsburg </w:t>
      </w:r>
      <w:r w:rsidR="477793D0">
        <w:rPr/>
        <w:t>Road</w:t>
      </w:r>
      <w:r w:rsidR="4104414C">
        <w:rPr/>
        <w:t xml:space="preserve"> </w:t>
      </w:r>
      <w:r w:rsidR="477793D0">
        <w:rPr/>
        <w:t xml:space="preserve"> </w:t>
      </w:r>
      <w:r w:rsidR="0551A005">
        <w:drawing>
          <wp:inline wp14:editId="60D41DB4" wp14:anchorId="0BFDBA2E">
            <wp:extent cx="23648" cy="171450"/>
            <wp:effectExtent l="0" t="0" r="0" b="0"/>
            <wp:docPr id="206711604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60558e2882d425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551A005">
        <w:rPr/>
        <w:t xml:space="preserve"> </w:t>
      </w:r>
      <w:r w:rsidR="566A07F3">
        <w:rPr/>
        <w:t xml:space="preserve"> </w:t>
      </w:r>
      <w:r w:rsidR="477793D0">
        <w:rPr/>
        <w:t>Moun</w:t>
      </w:r>
      <w:r w:rsidR="477793D0">
        <w:rPr/>
        <w:t>t Vernon, OH 43050</w:t>
      </w:r>
      <w:r w:rsidR="7BD790DF">
        <w:rPr/>
        <w:t xml:space="preserve"> </w:t>
      </w:r>
      <w:r w:rsidR="35BC7A8C">
        <w:rPr/>
        <w:t xml:space="preserve"> </w:t>
      </w:r>
      <w:r w:rsidR="35BC7A8C">
        <w:drawing>
          <wp:inline wp14:editId="672C9FF1" wp14:anchorId="3CD98B0B">
            <wp:extent cx="23648" cy="171450"/>
            <wp:effectExtent l="0" t="0" r="0" b="0"/>
            <wp:docPr id="115063009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a33ca8a92ce463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77793D0">
        <w:rPr/>
        <w:t xml:space="preserve"> </w:t>
      </w:r>
      <w:r w:rsidR="0809D1F8">
        <w:rPr/>
        <w:t xml:space="preserve"> </w:t>
      </w:r>
      <w:r w:rsidR="477793D0">
        <w:rPr/>
        <w:t>mvnu.edu/ignite</w:t>
      </w:r>
    </w:p>
    <w:sectPr w:rsidR="0046073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AK" w:author="Amy Kovach" w:date="2024-01-22T18:45:46" w:id="1113522928">
    <w:p w:rsidR="0514905B" w:rsidRDefault="0514905B" w14:paraId="4FD88284" w14:textId="53B7DCA7">
      <w:pPr>
        <w:pStyle w:val="CommentText"/>
      </w:pPr>
      <w:r w:rsidR="0514905B">
        <w:rPr/>
        <w:t>aligns with</w:t>
      </w:r>
      <w:r>
        <w:rPr>
          <w:rStyle w:val="CommentReference"/>
        </w:rPr>
        <w:annotationRef/>
      </w:r>
    </w:p>
  </w:comment>
  <w:comment w:initials="AK" w:author="Amy Kovach" w:date="2024-01-22T18:46:25" w:id="1813442669">
    <w:p w:rsidR="0514905B" w:rsidRDefault="0514905B" w14:paraId="55CFD7B6" w14:textId="6E9EBFB3">
      <w:pPr>
        <w:pStyle w:val="CommentText"/>
      </w:pPr>
      <w:r w:rsidR="0514905B">
        <w:rPr/>
        <w:t>This is a bit hard to follow.  Perhaps multiple sentences?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4FD88284"/>
  <w15:commentEx w15:done="1" w15:paraId="55CFD7B6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FC7B103" w16cex:dateUtc="2024-01-22T23:45:46.018Z"/>
  <w16cex:commentExtensible w16cex:durableId="6295FC82" w16cex:dateUtc="2024-01-22T23:46:25.55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FD88284" w16cid:durableId="4FC7B103"/>
  <w16cid:commentId w16cid:paraId="55CFD7B6" w16cid:durableId="6295FC8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Amy Kovach">
    <w15:presenceInfo w15:providerId="AD" w15:userId="S::amykovach@mvnu.edu::9892fa71-3bd1-4bd3-bf70-910115f4eb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32"/>
    <w:rsid w:val="003523EA"/>
    <w:rsid w:val="00460732"/>
    <w:rsid w:val="0463CA28"/>
    <w:rsid w:val="0514905B"/>
    <w:rsid w:val="0551A005"/>
    <w:rsid w:val="06C4CD59"/>
    <w:rsid w:val="0809D1F8"/>
    <w:rsid w:val="0AEF31A3"/>
    <w:rsid w:val="11EF9052"/>
    <w:rsid w:val="122F302C"/>
    <w:rsid w:val="13492196"/>
    <w:rsid w:val="14E4F1F7"/>
    <w:rsid w:val="1E7DC094"/>
    <w:rsid w:val="1EE9F7B3"/>
    <w:rsid w:val="235131B7"/>
    <w:rsid w:val="269ED3A8"/>
    <w:rsid w:val="2B7244CB"/>
    <w:rsid w:val="2B9F9D52"/>
    <w:rsid w:val="2D0E152C"/>
    <w:rsid w:val="33206654"/>
    <w:rsid w:val="35BC7A8C"/>
    <w:rsid w:val="370254B2"/>
    <w:rsid w:val="374B4A46"/>
    <w:rsid w:val="389E2513"/>
    <w:rsid w:val="389E2513"/>
    <w:rsid w:val="3A219A06"/>
    <w:rsid w:val="3AB1319B"/>
    <w:rsid w:val="3B0DB3AE"/>
    <w:rsid w:val="3B9C917F"/>
    <w:rsid w:val="4104414C"/>
    <w:rsid w:val="4176730F"/>
    <w:rsid w:val="42806907"/>
    <w:rsid w:val="477793D0"/>
    <w:rsid w:val="4A2344FC"/>
    <w:rsid w:val="4C96E1DE"/>
    <w:rsid w:val="4E32B23F"/>
    <w:rsid w:val="52DA54D0"/>
    <w:rsid w:val="566A07F3"/>
    <w:rsid w:val="57D89D3B"/>
    <w:rsid w:val="69CC2981"/>
    <w:rsid w:val="6EF49D7A"/>
    <w:rsid w:val="722C3E3C"/>
    <w:rsid w:val="729C6E36"/>
    <w:rsid w:val="7BD79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80D04"/>
  <w15:chartTrackingRefBased/>
  <w15:docId w15:val="{91105937-03F6-444C-A004-F657B853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46073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6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5fb3668e79a14b1a" Type="http://schemas.openxmlformats.org/officeDocument/2006/relationships/comments" Target="comments.xml"/><Relationship Id="Ra92cb3e667764baa" Type="http://schemas.microsoft.com/office/2011/relationships/people" Target="people.xml"/><Relationship Id="rId3" Type="http://schemas.openxmlformats.org/officeDocument/2006/relationships/webSettings" Target="webSettings.xml"/><Relationship Id="R1e3df73b90284b38" Type="http://schemas.openxmlformats.org/officeDocument/2006/relationships/image" Target="/media/image.png"/><Relationship Id="Rf1249bf89bd842cf" Type="http://schemas.microsoft.com/office/2011/relationships/commentsExtended" Target="commentsExtended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9b750ca587734dcf" Type="http://schemas.microsoft.com/office/2018/08/relationships/commentsExtensible" Target="commentsExtensible.xml"/><Relationship Id="R86481e5e730d45ff" Type="http://schemas.openxmlformats.org/officeDocument/2006/relationships/image" Target="/media/image2.png"/><Relationship Id="R660558e2882d425d" Type="http://schemas.openxmlformats.org/officeDocument/2006/relationships/image" Target="/media/image3.png"/><Relationship Id="R9a33ca8a92ce463d" Type="http://schemas.openxmlformats.org/officeDocument/2006/relationships/image" Target="/media/image4.png"/><Relationship Id="rId4" Type="http://schemas.openxmlformats.org/officeDocument/2006/relationships/fontTable" Target="fontTable.xml"/><Relationship Id="Rbe94c6360e5049aa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5293B856BD64CB1B87359681A7667" ma:contentTypeVersion="19" ma:contentTypeDescription="Create a new document." ma:contentTypeScope="" ma:versionID="87edb8e4a36929ebc0b7ae8027a2d11b">
  <xsd:schema xmlns:xsd="http://www.w3.org/2001/XMLSchema" xmlns:xs="http://www.w3.org/2001/XMLSchema" xmlns:p="http://schemas.microsoft.com/office/2006/metadata/properties" xmlns:ns2="88ac171a-a967-4333-ab36-6fd36cf34859" xmlns:ns3="f988c003-70f0-43cc-9aae-75fb2e975181" targetNamespace="http://schemas.microsoft.com/office/2006/metadata/properties" ma:root="true" ma:fieldsID="f190f634f4746fa5f6a4a41b4a8cbad4" ns2:_="" ns3:_="">
    <xsd:import namespace="88ac171a-a967-4333-ab36-6fd36cf34859"/>
    <xsd:import namespace="f988c003-70f0-43cc-9aae-75fb2e975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c171a-a967-4333-ab36-6fd36cf34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abbbcb-7f5e-4c99-95aa-4be05a337d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8c003-70f0-43cc-9aae-75fb2e975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7349759-ab7d-4a8f-920f-32c67311e446}" ma:internalName="TaxCatchAll" ma:showField="CatchAllData" ma:web="f988c003-70f0-43cc-9aae-75fb2e975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91E666-5A36-429B-A89B-21BF0C80E829}"/>
</file>

<file path=customXml/itemProps2.xml><?xml version="1.0" encoding="utf-8"?>
<ds:datastoreItem xmlns:ds="http://schemas.openxmlformats.org/officeDocument/2006/customXml" ds:itemID="{093CB159-1F0E-45E2-BAB0-2D14CEBED3A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Amy Stemen</dc:creator>
  <keywords/>
  <dc:description/>
  <lastModifiedBy>Amy Stemen</lastModifiedBy>
  <revision>4</revision>
  <dcterms:created xsi:type="dcterms:W3CDTF">2024-01-19T16:39:00.0000000Z</dcterms:created>
  <dcterms:modified xsi:type="dcterms:W3CDTF">2024-08-19T18:50:27.3305671Z</dcterms:modified>
</coreProperties>
</file>